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40" w:rsidRDefault="00432840" w:rsidP="00432840">
      <w:pPr>
        <w:contextualSpacing/>
        <w:rPr>
          <w:b/>
          <w:position w:val="-16"/>
          <w:sz w:val="32"/>
          <w:szCs w:val="32"/>
        </w:rPr>
      </w:pPr>
      <w:proofErr w:type="spellStart"/>
      <w:r w:rsidRPr="000631EA">
        <w:rPr>
          <w:rFonts w:ascii="Tahoma" w:hAnsi="Tahoma" w:cs="Tahoma"/>
          <w:b/>
          <w:spacing w:val="-68"/>
          <w:sz w:val="96"/>
          <w:szCs w:val="96"/>
        </w:rPr>
        <w:t>Lf</w:t>
      </w:r>
      <w:r w:rsidRPr="000631EA">
        <w:rPr>
          <w:rFonts w:ascii="Tahoma" w:hAnsi="Tahoma" w:cs="Tahoma"/>
          <w:b/>
          <w:spacing w:val="-40"/>
          <w:sz w:val="96"/>
          <w:szCs w:val="96"/>
        </w:rPr>
        <w:t>m</w:t>
      </w:r>
      <w:proofErr w:type="spellEnd"/>
      <w:r w:rsidRPr="000631EA">
        <w:rPr>
          <w:b/>
          <w:position w:val="-16"/>
          <w:sz w:val="32"/>
          <w:szCs w:val="32"/>
        </w:rPr>
        <w:t>Lakewood Family Medicine plc</w:t>
      </w:r>
    </w:p>
    <w:p w:rsidR="00432840" w:rsidRDefault="00432840" w:rsidP="00432840">
      <w:pPr>
        <w:contextualSpacing/>
        <w:jc w:val="right"/>
        <w:rPr>
          <w:b/>
          <w:position w:val="-16"/>
        </w:rPr>
      </w:pPr>
    </w:p>
    <w:p w:rsidR="00432840" w:rsidRDefault="00432840" w:rsidP="00432840">
      <w:pPr>
        <w:spacing w:after="100" w:afterAutospacing="1"/>
        <w:contextualSpacing/>
        <w:jc w:val="right"/>
        <w:rPr>
          <w:b/>
          <w:position w:val="-16"/>
        </w:rPr>
      </w:pPr>
    </w:p>
    <w:p w:rsidR="00432840" w:rsidRDefault="00432840" w:rsidP="00432840">
      <w:pPr>
        <w:spacing w:after="100" w:afterAutospacing="1"/>
        <w:contextualSpacing/>
        <w:jc w:val="right"/>
        <w:rPr>
          <w:b/>
          <w:position w:val="-16"/>
        </w:rPr>
      </w:pPr>
      <w:r>
        <w:rPr>
          <w:b/>
          <w:position w:val="-16"/>
        </w:rPr>
        <w:t>382 N 120</w:t>
      </w:r>
      <w:r w:rsidRPr="00B64BD9">
        <w:rPr>
          <w:b/>
          <w:position w:val="-16"/>
          <w:vertAlign w:val="superscript"/>
        </w:rPr>
        <w:t>th</w:t>
      </w:r>
      <w:r>
        <w:rPr>
          <w:b/>
          <w:position w:val="-16"/>
        </w:rPr>
        <w:t xml:space="preserve"> Avenue</w:t>
      </w:r>
    </w:p>
    <w:p w:rsidR="00432840" w:rsidRDefault="00432840" w:rsidP="00432840">
      <w:pPr>
        <w:spacing w:after="100" w:afterAutospacing="1"/>
        <w:contextualSpacing/>
        <w:jc w:val="right"/>
        <w:rPr>
          <w:b/>
          <w:position w:val="-16"/>
        </w:rPr>
      </w:pPr>
      <w:r>
        <w:rPr>
          <w:b/>
          <w:position w:val="-16"/>
        </w:rPr>
        <w:t xml:space="preserve">Holland, </w:t>
      </w:r>
      <w:smartTag w:uri="urn:schemas-microsoft-com:office:smarttags" w:element="State">
        <w:r>
          <w:rPr>
            <w:b/>
            <w:position w:val="-16"/>
          </w:rPr>
          <w:t>MI</w:t>
        </w:r>
      </w:smartTag>
      <w:r>
        <w:rPr>
          <w:b/>
          <w:position w:val="-16"/>
        </w:rPr>
        <w:t xml:space="preserve"> </w:t>
      </w:r>
      <w:smartTag w:uri="urn:schemas-microsoft-com:office:smarttags" w:element="PostalCode">
        <w:r>
          <w:rPr>
            <w:b/>
            <w:position w:val="-16"/>
          </w:rPr>
          <w:t>49424</w:t>
        </w:r>
      </w:smartTag>
    </w:p>
    <w:p w:rsidR="002659A2" w:rsidRDefault="00432840" w:rsidP="002659A2">
      <w:pPr>
        <w:contextualSpacing/>
        <w:jc w:val="right"/>
        <w:rPr>
          <w:b/>
          <w:position w:val="-16"/>
        </w:rPr>
        <w:sectPr w:rsidR="002659A2" w:rsidSect="002659A2">
          <w:pgSz w:w="12240" w:h="15840"/>
          <w:pgMar w:top="720" w:right="1440" w:bottom="1440" w:left="1440" w:header="720" w:footer="720" w:gutter="0"/>
          <w:cols w:num="2" w:space="288" w:equalWidth="0">
            <w:col w:w="6480" w:space="288"/>
            <w:col w:w="2592"/>
          </w:cols>
          <w:docGrid w:linePitch="360"/>
        </w:sectPr>
      </w:pPr>
      <w:r>
        <w:rPr>
          <w:b/>
          <w:position w:val="-16"/>
        </w:rPr>
        <w:t>616-396-651</w:t>
      </w:r>
      <w:r w:rsidR="002659A2">
        <w:rPr>
          <w:b/>
          <w:position w:val="-16"/>
        </w:rPr>
        <w:t>6</w:t>
      </w:r>
    </w:p>
    <w:p w:rsidR="00362AF4" w:rsidRPr="00362AF4" w:rsidRDefault="00362AF4" w:rsidP="002659A2">
      <w:pPr>
        <w:spacing w:before="480"/>
        <w:jc w:val="center"/>
        <w:rPr>
          <w:rFonts w:cs="Times New Roman"/>
          <w:b/>
          <w:color w:val="333333"/>
          <w:sz w:val="28"/>
          <w:szCs w:val="28"/>
          <w:lang w:val="es-ES"/>
        </w:rPr>
      </w:pPr>
      <w:r w:rsidRPr="00362AF4">
        <w:rPr>
          <w:rFonts w:cs="Times New Roman"/>
          <w:b/>
          <w:color w:val="333333"/>
          <w:sz w:val="28"/>
          <w:szCs w:val="28"/>
          <w:lang w:val="es-ES"/>
        </w:rPr>
        <w:t>RECOMENDACIONES DE SALUD PREVENTIVA PARA ADULTOS</w:t>
      </w:r>
    </w:p>
    <w:p w:rsidR="00362AF4" w:rsidRPr="00362AF4" w:rsidRDefault="00362AF4" w:rsidP="00362AF4">
      <w:pPr>
        <w:rPr>
          <w:rFonts w:cs="Times New Roman"/>
          <w:color w:val="333333"/>
          <w:szCs w:val="24"/>
          <w:lang w:val="es-ES"/>
        </w:rPr>
      </w:pPr>
    </w:p>
    <w:p w:rsidR="00362AF4" w:rsidRPr="00362AF4" w:rsidRDefault="00362AF4" w:rsidP="00362AF4">
      <w:pPr>
        <w:rPr>
          <w:rFonts w:cs="Times New Roman"/>
          <w:color w:val="333333"/>
          <w:szCs w:val="24"/>
          <w:lang w:val="es-ES"/>
        </w:rPr>
      </w:pPr>
      <w:r w:rsidRPr="00362AF4">
        <w:rPr>
          <w:rFonts w:cs="Times New Roman"/>
          <w:color w:val="333333"/>
          <w:szCs w:val="24"/>
          <w:lang w:val="es-ES"/>
        </w:rPr>
        <w:t xml:space="preserve">Asesorar a usted en relación con la enfermedad y la prevención de </w:t>
      </w:r>
      <w:r w:rsidR="005010C5">
        <w:rPr>
          <w:rFonts w:cs="Times New Roman"/>
          <w:color w:val="333333"/>
          <w:szCs w:val="24"/>
          <w:lang w:val="es-ES"/>
        </w:rPr>
        <w:t>heridas</w:t>
      </w:r>
      <w:r w:rsidRPr="00362AF4">
        <w:rPr>
          <w:rFonts w:cs="Times New Roman"/>
          <w:color w:val="333333"/>
          <w:szCs w:val="24"/>
          <w:lang w:val="es-ES"/>
        </w:rPr>
        <w:t xml:space="preserve"> es una parte importante de nuestro papel como proveedores de atención médica. Las siguientes pautas preventivas de salud se proporcionan para ayudarle en su búsqueda de bienestar. No dude en </w:t>
      </w:r>
      <w:r w:rsidR="00854FD2">
        <w:rPr>
          <w:rFonts w:cs="Times New Roman"/>
          <w:color w:val="333333"/>
          <w:szCs w:val="24"/>
          <w:lang w:val="es-ES"/>
        </w:rPr>
        <w:t>hablar de</w:t>
      </w:r>
      <w:r w:rsidRPr="00362AF4">
        <w:rPr>
          <w:rFonts w:cs="Times New Roman"/>
          <w:color w:val="333333"/>
          <w:szCs w:val="24"/>
          <w:lang w:val="es-ES"/>
        </w:rPr>
        <w:t xml:space="preserve"> estas recomendaciones con su médico o proveedor de salud.</w:t>
      </w:r>
    </w:p>
    <w:p w:rsidR="00362AF4" w:rsidRPr="00362AF4" w:rsidRDefault="00362AF4" w:rsidP="00362AF4">
      <w:pPr>
        <w:rPr>
          <w:rFonts w:cs="Times New Roman"/>
          <w:color w:val="333333"/>
          <w:szCs w:val="24"/>
          <w:lang w:val="es-ES"/>
        </w:rPr>
      </w:pPr>
    </w:p>
    <w:p w:rsidR="00362AF4" w:rsidRPr="00362AF4" w:rsidRDefault="00362AF4" w:rsidP="00362AF4">
      <w:pPr>
        <w:rPr>
          <w:rFonts w:cs="Times New Roman"/>
          <w:b/>
          <w:color w:val="333333"/>
          <w:szCs w:val="24"/>
          <w:lang w:val="es-ES"/>
        </w:rPr>
      </w:pPr>
      <w:r w:rsidRPr="00362AF4">
        <w:rPr>
          <w:rFonts w:cs="Times New Roman"/>
          <w:b/>
          <w:color w:val="333333"/>
          <w:szCs w:val="24"/>
          <w:lang w:val="es-ES"/>
        </w:rPr>
        <w:t>Sugerimos visitar a su médico para una evaluación médica preventiva (física):</w:t>
      </w:r>
    </w:p>
    <w:p w:rsidR="00362AF4" w:rsidRPr="002659A2" w:rsidRDefault="00362AF4" w:rsidP="002659A2">
      <w:pPr>
        <w:pStyle w:val="ListParagraph"/>
        <w:numPr>
          <w:ilvl w:val="0"/>
          <w:numId w:val="1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Las mujeres mayores de 18 años de edad (o que son más jóvenes, pero sexualmente activas): cada año</w:t>
      </w:r>
    </w:p>
    <w:p w:rsidR="00362AF4" w:rsidRPr="002659A2" w:rsidRDefault="00362AF4" w:rsidP="002659A2">
      <w:pPr>
        <w:pStyle w:val="ListParagraph"/>
        <w:numPr>
          <w:ilvl w:val="0"/>
          <w:numId w:val="1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 xml:space="preserve">Los hombres </w:t>
      </w:r>
      <w:r w:rsidR="00854FD2">
        <w:rPr>
          <w:rFonts w:cs="Times New Roman"/>
          <w:color w:val="333333"/>
          <w:szCs w:val="24"/>
          <w:lang w:val="es-ES"/>
        </w:rPr>
        <w:t>de edad</w:t>
      </w:r>
      <w:r w:rsidRPr="002659A2">
        <w:rPr>
          <w:rFonts w:cs="Times New Roman"/>
          <w:color w:val="333333"/>
          <w:szCs w:val="24"/>
          <w:lang w:val="es-ES"/>
        </w:rPr>
        <w:t xml:space="preserve"> 18-49: cada </w:t>
      </w:r>
      <w:r w:rsidR="00854FD2">
        <w:rPr>
          <w:rFonts w:cs="Times New Roman"/>
          <w:color w:val="333333"/>
          <w:szCs w:val="24"/>
          <w:lang w:val="es-ES"/>
        </w:rPr>
        <w:t>2-3</w:t>
      </w:r>
      <w:r w:rsidRPr="002659A2">
        <w:rPr>
          <w:rFonts w:cs="Times New Roman"/>
          <w:color w:val="333333"/>
          <w:szCs w:val="24"/>
          <w:lang w:val="es-ES"/>
        </w:rPr>
        <w:t xml:space="preserve"> años</w:t>
      </w:r>
    </w:p>
    <w:p w:rsidR="00362AF4" w:rsidRPr="002659A2" w:rsidRDefault="00362AF4" w:rsidP="002659A2">
      <w:pPr>
        <w:pStyle w:val="ListParagraph"/>
        <w:numPr>
          <w:ilvl w:val="0"/>
          <w:numId w:val="1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Hombres y mujeres de 50 años en adelante: cada 1-2 años</w:t>
      </w:r>
    </w:p>
    <w:p w:rsidR="00362AF4" w:rsidRPr="00362AF4" w:rsidRDefault="00362AF4" w:rsidP="00362AF4">
      <w:pPr>
        <w:rPr>
          <w:rFonts w:cs="Times New Roman"/>
          <w:color w:val="333333"/>
          <w:szCs w:val="24"/>
          <w:lang w:val="es-ES"/>
        </w:rPr>
      </w:pPr>
    </w:p>
    <w:p w:rsidR="00362AF4" w:rsidRPr="00362AF4" w:rsidRDefault="00362AF4" w:rsidP="00362AF4">
      <w:pPr>
        <w:rPr>
          <w:rFonts w:cs="Times New Roman"/>
          <w:b/>
          <w:color w:val="333333"/>
          <w:szCs w:val="24"/>
          <w:lang w:val="es-ES"/>
        </w:rPr>
      </w:pPr>
      <w:r w:rsidRPr="00362AF4">
        <w:rPr>
          <w:rFonts w:cs="Times New Roman"/>
          <w:b/>
          <w:color w:val="333333"/>
          <w:szCs w:val="24"/>
          <w:lang w:val="es-ES"/>
        </w:rPr>
        <w:t xml:space="preserve">Las </w:t>
      </w:r>
      <w:r w:rsidR="00854FD2">
        <w:rPr>
          <w:rFonts w:cs="Times New Roman"/>
          <w:b/>
          <w:color w:val="333333"/>
          <w:szCs w:val="24"/>
          <w:lang w:val="es-ES"/>
        </w:rPr>
        <w:t xml:space="preserve">siguientes </w:t>
      </w:r>
      <w:r w:rsidRPr="00362AF4">
        <w:rPr>
          <w:rFonts w:cs="Times New Roman"/>
          <w:b/>
          <w:color w:val="333333"/>
          <w:szCs w:val="24"/>
          <w:lang w:val="es-ES"/>
        </w:rPr>
        <w:t xml:space="preserve">pruebas de detección se recomienda de forma regular para las personas sanas </w:t>
      </w:r>
      <w:r w:rsidR="00854FD2">
        <w:rPr>
          <w:rFonts w:cs="Times New Roman"/>
          <w:b/>
          <w:color w:val="333333"/>
          <w:szCs w:val="24"/>
          <w:lang w:val="es-ES"/>
        </w:rPr>
        <w:t xml:space="preserve">(se </w:t>
      </w:r>
      <w:r w:rsidR="005010C5">
        <w:rPr>
          <w:rFonts w:cs="Times New Roman"/>
          <w:b/>
          <w:color w:val="333333"/>
          <w:szCs w:val="24"/>
          <w:lang w:val="es-ES"/>
        </w:rPr>
        <w:t>puede recome</w:t>
      </w:r>
      <w:r w:rsidR="00854FD2">
        <w:rPr>
          <w:rFonts w:cs="Times New Roman"/>
          <w:b/>
          <w:color w:val="333333"/>
          <w:szCs w:val="24"/>
          <w:lang w:val="es-ES"/>
        </w:rPr>
        <w:t>ndar con más frecuencia o más temprano para personas de alto riesgo)</w:t>
      </w:r>
      <w:r w:rsidRPr="00362AF4">
        <w:rPr>
          <w:rFonts w:cs="Times New Roman"/>
          <w:b/>
          <w:color w:val="333333"/>
          <w:szCs w:val="24"/>
          <w:lang w:val="es-ES"/>
        </w:rPr>
        <w:t>:</w:t>
      </w:r>
    </w:p>
    <w:p w:rsidR="00362AF4" w:rsidRPr="002659A2" w:rsidRDefault="00362AF4" w:rsidP="002659A2">
      <w:pPr>
        <w:pStyle w:val="ListParagraph"/>
        <w:numPr>
          <w:ilvl w:val="0"/>
          <w:numId w:val="2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Hipertensión: las revisiones de presión arterial como parte de cada evaluación periódica de la salud</w:t>
      </w:r>
    </w:p>
    <w:p w:rsidR="00362AF4" w:rsidRPr="002659A2" w:rsidRDefault="00362AF4" w:rsidP="002659A2">
      <w:pPr>
        <w:pStyle w:val="ListParagraph"/>
        <w:numPr>
          <w:ilvl w:val="0"/>
          <w:numId w:val="2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 xml:space="preserve">Colesterol: cada cinco años después de los 35 años para los hombres, </w:t>
      </w:r>
      <w:r w:rsidR="00854FD2">
        <w:rPr>
          <w:rFonts w:cs="Times New Roman"/>
          <w:color w:val="333333"/>
          <w:szCs w:val="24"/>
          <w:lang w:val="es-ES"/>
        </w:rPr>
        <w:t>después de los</w:t>
      </w:r>
      <w:r w:rsidRPr="002659A2">
        <w:rPr>
          <w:rFonts w:cs="Times New Roman"/>
          <w:color w:val="333333"/>
          <w:szCs w:val="24"/>
          <w:lang w:val="es-ES"/>
        </w:rPr>
        <w:t xml:space="preserve"> 45 años para las mujeres</w:t>
      </w:r>
    </w:p>
    <w:p w:rsidR="00362AF4" w:rsidRPr="002659A2" w:rsidRDefault="00362AF4" w:rsidP="002659A2">
      <w:pPr>
        <w:pStyle w:val="ListParagraph"/>
        <w:numPr>
          <w:ilvl w:val="0"/>
          <w:numId w:val="2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 xml:space="preserve">Cáncer de colon: examen comienza a los 50 años con </w:t>
      </w:r>
      <w:r w:rsidR="00854FD2">
        <w:rPr>
          <w:rFonts w:cs="Times New Roman"/>
          <w:color w:val="333333"/>
          <w:szCs w:val="24"/>
          <w:lang w:val="es-ES"/>
        </w:rPr>
        <w:t xml:space="preserve">colonoscopia cada 10 años, tarjetas de heces cada </w:t>
      </w:r>
      <w:r w:rsidR="005010C5">
        <w:rPr>
          <w:rFonts w:cs="Times New Roman"/>
          <w:color w:val="333333"/>
          <w:szCs w:val="24"/>
          <w:lang w:val="es-ES"/>
        </w:rPr>
        <w:t>año</w:t>
      </w:r>
      <w:r w:rsidR="00854FD2">
        <w:rPr>
          <w:rFonts w:cs="Times New Roman"/>
          <w:color w:val="333333"/>
          <w:szCs w:val="24"/>
          <w:lang w:val="es-ES"/>
        </w:rPr>
        <w:t xml:space="preserve"> o </w:t>
      </w:r>
      <w:proofErr w:type="spellStart"/>
      <w:r w:rsidR="00854FD2">
        <w:rPr>
          <w:rFonts w:cs="Times New Roman"/>
          <w:color w:val="333333"/>
          <w:szCs w:val="24"/>
          <w:lang w:val="es-ES"/>
        </w:rPr>
        <w:t>Cologuard</w:t>
      </w:r>
      <w:proofErr w:type="spellEnd"/>
      <w:r w:rsidR="00854FD2">
        <w:rPr>
          <w:rFonts w:cs="Times New Roman"/>
          <w:color w:val="333333"/>
          <w:szCs w:val="24"/>
          <w:lang w:val="es-ES"/>
        </w:rPr>
        <w:t xml:space="preserve"> (prueba genética) cada 3 años, </w:t>
      </w:r>
    </w:p>
    <w:p w:rsidR="00362AF4" w:rsidRPr="002659A2" w:rsidRDefault="00362AF4" w:rsidP="002659A2">
      <w:pPr>
        <w:pStyle w:val="ListParagraph"/>
        <w:numPr>
          <w:ilvl w:val="0"/>
          <w:numId w:val="2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Cáncer cervical: pruebas de Papanicolaou para la mujer como parte de sus evaluaciones regulares de salud a partir de los 21 años</w:t>
      </w:r>
      <w:r w:rsidR="00854FD2">
        <w:rPr>
          <w:rFonts w:cs="Times New Roman"/>
          <w:color w:val="333333"/>
          <w:szCs w:val="24"/>
          <w:lang w:val="es-ES"/>
        </w:rPr>
        <w:t xml:space="preserve"> y repetir cada 3-5 </w:t>
      </w:r>
      <w:r w:rsidR="00854FD2" w:rsidRPr="002659A2">
        <w:rPr>
          <w:rFonts w:cs="Times New Roman"/>
          <w:color w:val="333333"/>
          <w:szCs w:val="24"/>
          <w:lang w:val="es-ES"/>
        </w:rPr>
        <w:t>años</w:t>
      </w:r>
    </w:p>
    <w:p w:rsidR="00362AF4" w:rsidRPr="002659A2" w:rsidRDefault="00362AF4" w:rsidP="002659A2">
      <w:pPr>
        <w:pStyle w:val="ListParagraph"/>
        <w:numPr>
          <w:ilvl w:val="0"/>
          <w:numId w:val="2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 xml:space="preserve">Cáncer </w:t>
      </w:r>
      <w:r w:rsidR="00854FD2">
        <w:rPr>
          <w:rFonts w:cs="Times New Roman"/>
          <w:color w:val="333333"/>
          <w:szCs w:val="24"/>
          <w:lang w:val="es-ES"/>
        </w:rPr>
        <w:t xml:space="preserve">seno: mamografías cada 1-2 años a partir de los 40-50 </w:t>
      </w:r>
      <w:r w:rsidR="00854FD2" w:rsidRPr="002659A2">
        <w:rPr>
          <w:rFonts w:cs="Times New Roman"/>
          <w:color w:val="333333"/>
          <w:szCs w:val="24"/>
          <w:lang w:val="es-ES"/>
        </w:rPr>
        <w:t>años</w:t>
      </w:r>
    </w:p>
    <w:p w:rsidR="00362AF4" w:rsidRPr="002659A2" w:rsidRDefault="00362AF4" w:rsidP="002659A2">
      <w:pPr>
        <w:pStyle w:val="ListParagraph"/>
        <w:numPr>
          <w:ilvl w:val="0"/>
          <w:numId w:val="2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Osteoporosis: La densitometría ósea de las mujeres a partir de los 65 años</w:t>
      </w:r>
    </w:p>
    <w:p w:rsidR="00362AF4" w:rsidRPr="002659A2" w:rsidRDefault="00362AF4" w:rsidP="002659A2">
      <w:pPr>
        <w:pStyle w:val="ListParagraph"/>
        <w:numPr>
          <w:ilvl w:val="0"/>
          <w:numId w:val="2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Aneurisma aórtico: ecografía abdominal para hombre "nunca" fumadores de 65 a 75 años</w:t>
      </w:r>
    </w:p>
    <w:p w:rsidR="00362AF4" w:rsidRPr="002659A2" w:rsidRDefault="00362AF4" w:rsidP="002659A2">
      <w:pPr>
        <w:pStyle w:val="ListParagraph"/>
        <w:numPr>
          <w:ilvl w:val="0"/>
          <w:numId w:val="2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 xml:space="preserve">Chlamydia </w:t>
      </w:r>
      <w:r w:rsidR="00BB3165" w:rsidRPr="002659A2">
        <w:rPr>
          <w:rStyle w:val="hps"/>
          <w:rFonts w:cs="Times New Roman"/>
          <w:color w:val="333333"/>
          <w:lang w:val="es-ES"/>
        </w:rPr>
        <w:t>detección</w:t>
      </w:r>
    </w:p>
    <w:p w:rsidR="00362AF4" w:rsidRDefault="00362AF4" w:rsidP="002659A2">
      <w:pPr>
        <w:pStyle w:val="ListParagraph"/>
        <w:numPr>
          <w:ilvl w:val="0"/>
          <w:numId w:val="2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La diabetes: Gluc</w:t>
      </w:r>
      <w:r w:rsidR="00854FD2">
        <w:rPr>
          <w:rFonts w:cs="Times New Roman"/>
          <w:color w:val="333333"/>
          <w:szCs w:val="24"/>
          <w:lang w:val="es-ES"/>
        </w:rPr>
        <w:t>osa</w:t>
      </w:r>
      <w:r w:rsidRPr="002659A2">
        <w:rPr>
          <w:rFonts w:cs="Times New Roman"/>
          <w:color w:val="333333"/>
          <w:szCs w:val="24"/>
          <w:lang w:val="es-ES"/>
        </w:rPr>
        <w:t xml:space="preserve"> en ayunas</w:t>
      </w:r>
    </w:p>
    <w:p w:rsidR="00D01A44" w:rsidRPr="002659A2" w:rsidRDefault="00D01A44" w:rsidP="00D01A44">
      <w:pPr>
        <w:pStyle w:val="ListParagraph"/>
        <w:numPr>
          <w:ilvl w:val="0"/>
          <w:numId w:val="2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Detección de la hepatitis C para los nacidos 1945-1965</w:t>
      </w:r>
    </w:p>
    <w:p w:rsidR="00D01A44" w:rsidRPr="002659A2" w:rsidRDefault="00D01A44" w:rsidP="00D01A44">
      <w:pPr>
        <w:pStyle w:val="ListParagraph"/>
        <w:numPr>
          <w:ilvl w:val="0"/>
          <w:numId w:val="2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Style w:val="hps"/>
          <w:rFonts w:cs="Times New Roman"/>
          <w:color w:val="222222"/>
          <w:lang w:val="es-ES"/>
        </w:rPr>
        <w:t>Cáncer de pulmón</w:t>
      </w:r>
      <w:r w:rsidRPr="002659A2">
        <w:rPr>
          <w:rFonts w:cs="Times New Roman"/>
          <w:color w:val="222222"/>
          <w:lang w:val="es-ES"/>
        </w:rPr>
        <w:t xml:space="preserve"> </w:t>
      </w:r>
      <w:r w:rsidRPr="002659A2">
        <w:rPr>
          <w:rStyle w:val="hps"/>
          <w:rFonts w:cs="Times New Roman"/>
          <w:color w:val="222222"/>
          <w:lang w:val="es-ES"/>
        </w:rPr>
        <w:t>en</w:t>
      </w:r>
      <w:r w:rsidRPr="002659A2">
        <w:rPr>
          <w:rFonts w:cs="Times New Roman"/>
          <w:color w:val="222222"/>
          <w:lang w:val="es-ES"/>
        </w:rPr>
        <w:t xml:space="preserve"> </w:t>
      </w:r>
      <w:r w:rsidRPr="002659A2">
        <w:rPr>
          <w:rStyle w:val="hps"/>
          <w:rFonts w:cs="Times New Roman"/>
          <w:color w:val="222222"/>
          <w:lang w:val="es-ES"/>
        </w:rPr>
        <w:t>los fumadores</w:t>
      </w:r>
      <w:r w:rsidRPr="002659A2">
        <w:rPr>
          <w:rFonts w:cs="Times New Roman"/>
          <w:color w:val="222222"/>
          <w:lang w:val="es-ES"/>
        </w:rPr>
        <w:t xml:space="preserve"> </w:t>
      </w:r>
      <w:r w:rsidRPr="002659A2">
        <w:rPr>
          <w:rStyle w:val="hps"/>
          <w:rFonts w:cs="Times New Roman"/>
          <w:color w:val="222222"/>
          <w:lang w:val="es-ES"/>
        </w:rPr>
        <w:t>determinados</w:t>
      </w:r>
      <w:r w:rsidRPr="002659A2">
        <w:rPr>
          <w:rFonts w:cs="Times New Roman"/>
          <w:color w:val="222222"/>
          <w:lang w:val="es-ES"/>
        </w:rPr>
        <w:t xml:space="preserve">: </w:t>
      </w:r>
      <w:r w:rsidRPr="002659A2">
        <w:rPr>
          <w:rStyle w:val="hps"/>
          <w:rFonts w:cs="Times New Roman"/>
          <w:color w:val="222222"/>
          <w:lang w:val="es-ES"/>
        </w:rPr>
        <w:t>CT</w:t>
      </w:r>
      <w:r w:rsidRPr="002659A2">
        <w:rPr>
          <w:rFonts w:cs="Times New Roman"/>
          <w:color w:val="222222"/>
          <w:lang w:val="es-ES"/>
        </w:rPr>
        <w:t xml:space="preserve"> </w:t>
      </w:r>
      <w:r>
        <w:rPr>
          <w:rFonts w:cs="Times New Roman"/>
          <w:color w:val="222222"/>
          <w:lang w:val="es-ES"/>
        </w:rPr>
        <w:t xml:space="preserve">del </w:t>
      </w:r>
      <w:r w:rsidRPr="002659A2">
        <w:rPr>
          <w:rStyle w:val="hps"/>
          <w:rFonts w:cs="Times New Roman"/>
          <w:color w:val="222222"/>
          <w:lang w:val="es-ES"/>
        </w:rPr>
        <w:t>pecho</w:t>
      </w:r>
      <w:r w:rsidRPr="002659A2">
        <w:rPr>
          <w:rFonts w:cs="Times New Roman"/>
          <w:color w:val="222222"/>
          <w:lang w:val="es-ES"/>
        </w:rPr>
        <w:t xml:space="preserve"> </w:t>
      </w:r>
      <w:r>
        <w:rPr>
          <w:rFonts w:cs="Times New Roman"/>
          <w:color w:val="222222"/>
          <w:lang w:val="es-ES"/>
        </w:rPr>
        <w:t>d</w:t>
      </w:r>
      <w:r w:rsidRPr="002659A2">
        <w:rPr>
          <w:rStyle w:val="hps"/>
          <w:rFonts w:cs="Times New Roman"/>
          <w:color w:val="222222"/>
          <w:lang w:val="es-ES"/>
        </w:rPr>
        <w:t>osis baja</w:t>
      </w:r>
    </w:p>
    <w:p w:rsidR="00362AF4" w:rsidRPr="00362AF4" w:rsidRDefault="00362AF4" w:rsidP="00362AF4">
      <w:pPr>
        <w:rPr>
          <w:rFonts w:cs="Times New Roman"/>
          <w:color w:val="333333"/>
          <w:szCs w:val="24"/>
          <w:lang w:val="es-ES"/>
        </w:rPr>
      </w:pPr>
    </w:p>
    <w:p w:rsidR="00362AF4" w:rsidRPr="00362AF4" w:rsidRDefault="00362AF4" w:rsidP="00362AF4">
      <w:pPr>
        <w:rPr>
          <w:rFonts w:cs="Times New Roman"/>
          <w:b/>
          <w:color w:val="333333"/>
          <w:szCs w:val="24"/>
          <w:lang w:val="es-ES"/>
        </w:rPr>
      </w:pPr>
      <w:r w:rsidRPr="00362AF4">
        <w:rPr>
          <w:rFonts w:cs="Times New Roman"/>
          <w:b/>
          <w:color w:val="333333"/>
          <w:szCs w:val="24"/>
          <w:lang w:val="es-ES"/>
        </w:rPr>
        <w:t>Otras pruebas pueden ser apropiados. Discuta todas sus dudas con su médico.</w:t>
      </w:r>
    </w:p>
    <w:p w:rsidR="00362AF4" w:rsidRPr="002659A2" w:rsidRDefault="00362AF4" w:rsidP="002659A2">
      <w:pPr>
        <w:pStyle w:val="ListParagraph"/>
        <w:numPr>
          <w:ilvl w:val="0"/>
          <w:numId w:val="3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El cáncer de vejiga: Análisis de orina</w:t>
      </w:r>
    </w:p>
    <w:p w:rsidR="00362AF4" w:rsidRPr="002659A2" w:rsidRDefault="00362AF4" w:rsidP="002659A2">
      <w:pPr>
        <w:pStyle w:val="ListParagraph"/>
        <w:numPr>
          <w:ilvl w:val="0"/>
          <w:numId w:val="3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Las enfermedades del corazón: electrocardiograma, prueba de esfuerzo</w:t>
      </w:r>
    </w:p>
    <w:p w:rsidR="00362AF4" w:rsidRPr="002659A2" w:rsidRDefault="00362AF4" w:rsidP="002659A2">
      <w:pPr>
        <w:pStyle w:val="ListParagraph"/>
        <w:numPr>
          <w:ilvl w:val="0"/>
          <w:numId w:val="3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Enfermedades de transmisión sexual: VIH, gonorrea, sífilis, etc</w:t>
      </w:r>
    </w:p>
    <w:p w:rsidR="00362AF4" w:rsidRPr="002659A2" w:rsidRDefault="00D01A44" w:rsidP="002659A2">
      <w:pPr>
        <w:pStyle w:val="ListParagraph"/>
        <w:numPr>
          <w:ilvl w:val="0"/>
          <w:numId w:val="3"/>
        </w:numPr>
        <w:ind w:left="360" w:hanging="180"/>
        <w:rPr>
          <w:rFonts w:cs="Times New Roman"/>
          <w:color w:val="333333"/>
          <w:szCs w:val="24"/>
          <w:lang w:val="es-ES"/>
        </w:rPr>
      </w:pPr>
      <w:r>
        <w:rPr>
          <w:rFonts w:cs="Times New Roman"/>
          <w:color w:val="333333"/>
          <w:szCs w:val="24"/>
          <w:lang w:val="es-ES"/>
        </w:rPr>
        <w:t xml:space="preserve">PSA (prueba de la próstata): hombres entre </w:t>
      </w:r>
      <w:bookmarkStart w:id="0" w:name="_GoBack"/>
      <w:bookmarkEnd w:id="0"/>
      <w:r>
        <w:rPr>
          <w:rFonts w:cs="Times New Roman"/>
          <w:color w:val="333333"/>
          <w:szCs w:val="24"/>
          <w:lang w:val="es-ES"/>
        </w:rPr>
        <w:t>55-70</w:t>
      </w:r>
      <w:r w:rsidRPr="002659A2">
        <w:rPr>
          <w:rFonts w:cs="Times New Roman"/>
          <w:color w:val="333333"/>
          <w:szCs w:val="24"/>
          <w:lang w:val="es-ES"/>
        </w:rPr>
        <w:t xml:space="preserve"> años</w:t>
      </w:r>
      <w:r>
        <w:rPr>
          <w:rFonts w:cs="Times New Roman"/>
          <w:color w:val="333333"/>
          <w:szCs w:val="24"/>
          <w:lang w:val="es-ES"/>
        </w:rPr>
        <w:t xml:space="preserve"> </w:t>
      </w:r>
    </w:p>
    <w:p w:rsidR="00C271BE" w:rsidRPr="002659A2" w:rsidRDefault="00C271BE" w:rsidP="002659A2">
      <w:pPr>
        <w:pStyle w:val="ListParagraph"/>
        <w:numPr>
          <w:ilvl w:val="0"/>
          <w:numId w:val="3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Style w:val="hps"/>
          <w:rFonts w:cs="Times New Roman"/>
          <w:color w:val="222222"/>
          <w:lang w:val="es-ES"/>
        </w:rPr>
        <w:t>C</w:t>
      </w:r>
      <w:r w:rsidR="00D01A44">
        <w:rPr>
          <w:rStyle w:val="hps"/>
          <w:rFonts w:cs="Times New Roman"/>
          <w:color w:val="222222"/>
          <w:lang w:val="es-ES"/>
        </w:rPr>
        <w:t xml:space="preserve">RP marcador de </w:t>
      </w:r>
      <w:r w:rsidR="005010C5">
        <w:rPr>
          <w:rStyle w:val="hps"/>
          <w:rFonts w:cs="Times New Roman"/>
          <w:color w:val="222222"/>
          <w:lang w:val="es-ES"/>
        </w:rPr>
        <w:t>riesg</w:t>
      </w:r>
      <w:r w:rsidR="00D01A44">
        <w:rPr>
          <w:rStyle w:val="hps"/>
          <w:rFonts w:cs="Times New Roman"/>
          <w:color w:val="222222"/>
          <w:lang w:val="es-ES"/>
        </w:rPr>
        <w:t>o alto para ataque de corazón</w:t>
      </w:r>
    </w:p>
    <w:p w:rsidR="00362AF4" w:rsidRPr="00362AF4" w:rsidRDefault="00362AF4" w:rsidP="00362AF4">
      <w:pPr>
        <w:rPr>
          <w:rFonts w:cs="Times New Roman"/>
          <w:color w:val="333333"/>
          <w:szCs w:val="24"/>
          <w:lang w:val="es-ES"/>
        </w:rPr>
      </w:pPr>
    </w:p>
    <w:p w:rsidR="003D100E" w:rsidRDefault="003D100E">
      <w:pPr>
        <w:rPr>
          <w:rFonts w:cs="Times New Roman"/>
          <w:b/>
          <w:color w:val="333333"/>
          <w:szCs w:val="24"/>
          <w:lang w:val="es-ES"/>
        </w:rPr>
      </w:pPr>
      <w:r>
        <w:rPr>
          <w:rFonts w:cs="Times New Roman"/>
          <w:b/>
          <w:color w:val="333333"/>
          <w:szCs w:val="24"/>
          <w:lang w:val="es-ES"/>
        </w:rPr>
        <w:br w:type="page"/>
      </w:r>
    </w:p>
    <w:p w:rsidR="00362AF4" w:rsidRPr="00362AF4" w:rsidRDefault="00362AF4" w:rsidP="00362AF4">
      <w:pPr>
        <w:rPr>
          <w:rFonts w:cs="Times New Roman"/>
          <w:b/>
          <w:color w:val="333333"/>
          <w:szCs w:val="24"/>
          <w:lang w:val="es-ES"/>
        </w:rPr>
      </w:pPr>
      <w:r w:rsidRPr="00362AF4">
        <w:rPr>
          <w:rFonts w:cs="Times New Roman"/>
          <w:b/>
          <w:color w:val="333333"/>
          <w:szCs w:val="24"/>
          <w:lang w:val="es-ES"/>
        </w:rPr>
        <w:lastRenderedPageBreak/>
        <w:t>Las vacunas para adultos</w:t>
      </w:r>
    </w:p>
    <w:p w:rsidR="00362AF4" w:rsidRPr="002659A2" w:rsidRDefault="00362AF4" w:rsidP="002659A2">
      <w:pPr>
        <w:pStyle w:val="ListParagraph"/>
        <w:numPr>
          <w:ilvl w:val="0"/>
          <w:numId w:val="4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El tétanos / difteria / tos ferina: cada 10 años para los niños y adultos</w:t>
      </w:r>
    </w:p>
    <w:p w:rsidR="00432840" w:rsidRPr="002659A2" w:rsidRDefault="00432840" w:rsidP="002659A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 w:hanging="180"/>
        <w:rPr>
          <w:rFonts w:cs="Times New Roman"/>
          <w:szCs w:val="24"/>
        </w:rPr>
      </w:pPr>
      <w:r w:rsidRPr="002659A2">
        <w:rPr>
          <w:rFonts w:cs="Times New Roman"/>
          <w:color w:val="222222"/>
          <w:szCs w:val="24"/>
          <w:lang w:val="es-ES"/>
        </w:rPr>
        <w:t>Neumonía (PCV13 neumocócica y PPSV23): mayores de 65 años, ambas vacunas separadas por 1 año. Las personas menores de 65 años con enfermedades crónicas que pueden causar problemas con tener neumonía (enfermedad pulmonar, enfermedad cardíaca, diabetes, etc.)</w:t>
      </w:r>
    </w:p>
    <w:p w:rsidR="00362AF4" w:rsidRPr="002659A2" w:rsidRDefault="00362AF4" w:rsidP="002659A2">
      <w:pPr>
        <w:pStyle w:val="ListParagraph"/>
        <w:numPr>
          <w:ilvl w:val="0"/>
          <w:numId w:val="4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Vacuna contra la gripe (influenza) cada año para todos los adultos</w:t>
      </w:r>
    </w:p>
    <w:p w:rsidR="00362AF4" w:rsidRPr="002659A2" w:rsidRDefault="00362AF4" w:rsidP="002659A2">
      <w:pPr>
        <w:pStyle w:val="ListParagraph"/>
        <w:numPr>
          <w:ilvl w:val="0"/>
          <w:numId w:val="4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Virus del papiloma humano (VPH) para mujeres y hombres 9-26 años de edad</w:t>
      </w:r>
    </w:p>
    <w:p w:rsidR="00362AF4" w:rsidRPr="002659A2" w:rsidRDefault="00362AF4" w:rsidP="002659A2">
      <w:pPr>
        <w:pStyle w:val="ListParagraph"/>
        <w:numPr>
          <w:ilvl w:val="0"/>
          <w:numId w:val="4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Serie Hepatitis B: para el cuidado de la salud y trabajadores de cuidado infantil, a veces apropiada para otros</w:t>
      </w:r>
    </w:p>
    <w:p w:rsidR="00362AF4" w:rsidRPr="002659A2" w:rsidRDefault="00362AF4" w:rsidP="002659A2">
      <w:pPr>
        <w:pStyle w:val="ListParagraph"/>
        <w:numPr>
          <w:ilvl w:val="0"/>
          <w:numId w:val="4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La varicela (varicela): especialmente importantes para la mujer que puede quedarse embarazada (también tal vez deseen examinar la vacuna contra el sarampión [MMR])</w:t>
      </w:r>
    </w:p>
    <w:p w:rsidR="00362AF4" w:rsidRPr="002659A2" w:rsidRDefault="00362AF4" w:rsidP="002659A2">
      <w:pPr>
        <w:pStyle w:val="ListParagraph"/>
        <w:numPr>
          <w:ilvl w:val="0"/>
          <w:numId w:val="4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Culebrilla (herpes zoster): para adultos de 60 años de edad o más</w:t>
      </w:r>
    </w:p>
    <w:p w:rsidR="00362AF4" w:rsidRPr="00362AF4" w:rsidRDefault="00362AF4" w:rsidP="00362AF4">
      <w:pPr>
        <w:rPr>
          <w:rFonts w:cs="Times New Roman"/>
          <w:color w:val="333333"/>
          <w:szCs w:val="24"/>
          <w:lang w:val="es-ES"/>
        </w:rPr>
      </w:pPr>
    </w:p>
    <w:p w:rsidR="00362AF4" w:rsidRPr="00362AF4" w:rsidRDefault="00362AF4" w:rsidP="00362AF4">
      <w:pPr>
        <w:rPr>
          <w:rFonts w:cs="Times New Roman"/>
          <w:b/>
          <w:color w:val="333333"/>
          <w:szCs w:val="24"/>
          <w:lang w:val="es-ES"/>
        </w:rPr>
      </w:pPr>
      <w:r w:rsidRPr="00362AF4">
        <w:rPr>
          <w:rFonts w:cs="Times New Roman"/>
          <w:b/>
          <w:color w:val="333333"/>
          <w:szCs w:val="24"/>
          <w:lang w:val="es-ES"/>
        </w:rPr>
        <w:t>Su estilo de vida y hábitos ayudan a determinar si va a estar sano o va a estar en alto riesgo de enfermedad y accidentes graves. Usted puede comenzar a tomar medidas en los siguientes hábitos de salud ahora: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No fume ni mastique tabaco y evitar el humo de segunda mano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Beba alcohol con moderación (una bebida al día para las mujeres, hasta dos para los hombres)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Nunca conduzca después de beber alcohol y no viajar con aquellos que lo hacen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No use drogas ilegales o medicamentos recetados, mal uso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Practique un comportamiento sexual responsable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 xml:space="preserve">Haga ejercicio con regularidad: idealmente, la actividad aeróbica </w:t>
      </w:r>
      <w:r w:rsidR="00D01A44">
        <w:rPr>
          <w:rFonts w:cs="Times New Roman"/>
          <w:color w:val="333333"/>
          <w:szCs w:val="24"/>
          <w:lang w:val="es-ES"/>
        </w:rPr>
        <w:t>por 150 minutos cada semana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 xml:space="preserve">Consuma una dieta </w:t>
      </w:r>
      <w:r w:rsidR="005010C5">
        <w:rPr>
          <w:rFonts w:cs="Times New Roman"/>
          <w:color w:val="333333"/>
          <w:szCs w:val="24"/>
          <w:lang w:val="es-ES"/>
        </w:rPr>
        <w:t>l</w:t>
      </w:r>
      <w:r w:rsidR="00D01A44">
        <w:rPr>
          <w:rFonts w:cs="Times New Roman"/>
          <w:color w:val="333333"/>
          <w:szCs w:val="24"/>
          <w:lang w:val="es-ES"/>
        </w:rPr>
        <w:t xml:space="preserve">lena de frutas y verduras 5 porciones </w:t>
      </w:r>
      <w:r w:rsidR="003D100E">
        <w:rPr>
          <w:rFonts w:cs="Times New Roman"/>
          <w:color w:val="333333"/>
          <w:szCs w:val="24"/>
          <w:lang w:val="es-ES"/>
        </w:rPr>
        <w:t>dia</w:t>
      </w:r>
      <w:r w:rsidR="005010C5">
        <w:rPr>
          <w:rFonts w:cs="Times New Roman"/>
          <w:color w:val="333333"/>
          <w:szCs w:val="24"/>
          <w:lang w:val="es-ES"/>
        </w:rPr>
        <w:t>rios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Asegur</w:t>
      </w:r>
      <w:r w:rsidR="00D01A44">
        <w:rPr>
          <w:rFonts w:cs="Times New Roman"/>
          <w:color w:val="333333"/>
          <w:szCs w:val="24"/>
          <w:lang w:val="es-ES"/>
        </w:rPr>
        <w:t>e</w:t>
      </w:r>
      <w:r w:rsidRPr="002659A2">
        <w:rPr>
          <w:rFonts w:cs="Times New Roman"/>
          <w:color w:val="333333"/>
          <w:szCs w:val="24"/>
          <w:lang w:val="es-ES"/>
        </w:rPr>
        <w:t xml:space="preserve"> la ingesta adecuada de calcio, los hombres y las mujeres pre-menopáusicas: 800-1000 mg. todos los días. Las mujeres posmenopáusicas: 1200-1500 mg. (Una porción de lácteos ~ 400 mg)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Consumo diario de vitamina D3 (1.000 UI) de admisión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 xml:space="preserve">El ácido fólico (400 </w:t>
      </w:r>
      <w:proofErr w:type="spellStart"/>
      <w:r w:rsidRPr="002659A2">
        <w:rPr>
          <w:rFonts w:cs="Times New Roman"/>
          <w:color w:val="333333"/>
          <w:szCs w:val="24"/>
          <w:lang w:val="es-ES"/>
        </w:rPr>
        <w:t>mcg</w:t>
      </w:r>
      <w:proofErr w:type="spellEnd"/>
      <w:r w:rsidRPr="002659A2">
        <w:rPr>
          <w:rFonts w:cs="Times New Roman"/>
          <w:color w:val="333333"/>
          <w:szCs w:val="24"/>
          <w:lang w:val="es-ES"/>
        </w:rPr>
        <w:t>), que es especialmente importante para las mujeres en edad fértil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 xml:space="preserve">Una aspirina al día puede ser adecuado para algunas personas mayores de </w:t>
      </w:r>
      <w:r w:rsidR="00D01A44">
        <w:rPr>
          <w:rFonts w:cs="Times New Roman"/>
          <w:color w:val="333333"/>
          <w:szCs w:val="24"/>
          <w:lang w:val="es-ES"/>
        </w:rPr>
        <w:t>45</w:t>
      </w:r>
      <w:r w:rsidRPr="002659A2">
        <w:rPr>
          <w:rFonts w:cs="Times New Roman"/>
          <w:color w:val="333333"/>
          <w:szCs w:val="24"/>
          <w:lang w:val="es-ES"/>
        </w:rPr>
        <w:t>, hable con su médico o proveedor para discutir su situación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Las mujeres y los hombres deben hacer exámenes mensuales del seno auto-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Los hombres deben hacerse autoexámenes testiculares mensualmente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Use un casco al andar en bicicleta, patineta o patines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Use detectores de humo en su casa y comprobar con regularidad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Respete los límites de velocidad y usar el cinturón de seguridad</w:t>
      </w:r>
    </w:p>
    <w:p w:rsidR="00362AF4" w:rsidRPr="002659A2" w:rsidRDefault="003D100E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>
        <w:rPr>
          <w:rFonts w:cs="Times New Roman"/>
          <w:color w:val="333333"/>
          <w:szCs w:val="24"/>
          <w:lang w:val="es-ES"/>
        </w:rPr>
        <w:t>No use</w:t>
      </w:r>
      <w:r w:rsidR="00362AF4" w:rsidRPr="002659A2">
        <w:rPr>
          <w:rFonts w:cs="Times New Roman"/>
          <w:color w:val="333333"/>
          <w:szCs w:val="24"/>
          <w:lang w:val="es-ES"/>
        </w:rPr>
        <w:t xml:space="preserve"> teléfono celular </w:t>
      </w:r>
      <w:r>
        <w:rPr>
          <w:rFonts w:cs="Times New Roman"/>
          <w:color w:val="333333"/>
          <w:szCs w:val="24"/>
          <w:lang w:val="es-ES"/>
        </w:rPr>
        <w:t>o mande textos durante la conducci</w:t>
      </w:r>
      <w:r w:rsidRPr="002659A2">
        <w:rPr>
          <w:rFonts w:cs="Times New Roman"/>
          <w:color w:val="333333"/>
          <w:szCs w:val="24"/>
          <w:lang w:val="es-ES"/>
        </w:rPr>
        <w:t>ó</w:t>
      </w:r>
      <w:r>
        <w:rPr>
          <w:rFonts w:cs="Times New Roman"/>
          <w:color w:val="333333"/>
          <w:szCs w:val="24"/>
          <w:lang w:val="es-ES"/>
        </w:rPr>
        <w:t>n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Si tiene armas de fuego en casa, guardarlos bajo llave y separadas de la munición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Use protector solar SPF 15 o mayor cuando se encuentre fuera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Cepille y use hilo dental los dientes diariamente y visitar al dentista con regularidad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Haga que sus ojos sean examinados y probados para el glaucoma, especialmente después de los 40</w:t>
      </w:r>
    </w:p>
    <w:p w:rsidR="00362AF4" w:rsidRPr="002659A2" w:rsidRDefault="00362AF4" w:rsidP="002659A2">
      <w:pPr>
        <w:pStyle w:val="ListParagraph"/>
        <w:numPr>
          <w:ilvl w:val="0"/>
          <w:numId w:val="5"/>
        </w:numPr>
        <w:ind w:left="360" w:hanging="180"/>
        <w:rPr>
          <w:rFonts w:cs="Times New Roman"/>
          <w:color w:val="333333"/>
          <w:szCs w:val="24"/>
          <w:lang w:val="es-ES"/>
        </w:rPr>
      </w:pPr>
      <w:r w:rsidRPr="002659A2">
        <w:rPr>
          <w:rFonts w:cs="Times New Roman"/>
          <w:color w:val="333333"/>
          <w:szCs w:val="24"/>
          <w:lang w:val="es-ES"/>
        </w:rPr>
        <w:t>Hable con su proveedor de sus sentimientos con respecto a la atención médica al final de su vida (testamentos vitales, o apoderados de atención de salud, etc)</w:t>
      </w:r>
    </w:p>
    <w:p w:rsidR="00362AF4" w:rsidRPr="00362AF4" w:rsidRDefault="00362AF4" w:rsidP="00362AF4">
      <w:pPr>
        <w:rPr>
          <w:rFonts w:cs="Times New Roman"/>
          <w:color w:val="333333"/>
          <w:szCs w:val="24"/>
          <w:lang w:val="es-ES"/>
        </w:rPr>
      </w:pPr>
    </w:p>
    <w:p w:rsidR="00362AF4" w:rsidRPr="00362AF4" w:rsidRDefault="00362AF4" w:rsidP="00362AF4">
      <w:pPr>
        <w:rPr>
          <w:rFonts w:cs="Times New Roman"/>
          <w:b/>
          <w:color w:val="333333"/>
          <w:szCs w:val="24"/>
          <w:lang w:val="es-ES"/>
        </w:rPr>
      </w:pPr>
      <w:r w:rsidRPr="00362AF4">
        <w:rPr>
          <w:rFonts w:cs="Times New Roman"/>
          <w:b/>
          <w:color w:val="333333"/>
          <w:szCs w:val="24"/>
          <w:lang w:val="es-ES"/>
        </w:rPr>
        <w:t xml:space="preserve">Sitio Web para obtener información garrapata: michigan.gov / </w:t>
      </w:r>
      <w:proofErr w:type="spellStart"/>
      <w:r w:rsidRPr="00362AF4">
        <w:rPr>
          <w:rFonts w:cs="Times New Roman"/>
          <w:b/>
          <w:color w:val="333333"/>
          <w:szCs w:val="24"/>
          <w:lang w:val="es-ES"/>
        </w:rPr>
        <w:t>lymedisease</w:t>
      </w:r>
      <w:proofErr w:type="spellEnd"/>
    </w:p>
    <w:p w:rsidR="00362AF4" w:rsidRDefault="00362AF4" w:rsidP="00362AF4">
      <w:pPr>
        <w:rPr>
          <w:rFonts w:cs="Times New Roman"/>
          <w:color w:val="333333"/>
          <w:szCs w:val="24"/>
          <w:lang w:val="es-ES"/>
        </w:rPr>
      </w:pPr>
    </w:p>
    <w:p w:rsidR="0056763D" w:rsidRPr="00362AF4" w:rsidRDefault="00362AF4" w:rsidP="00362AF4">
      <w:pPr>
        <w:rPr>
          <w:rFonts w:cs="Times New Roman"/>
          <w:b/>
        </w:rPr>
      </w:pPr>
      <w:r w:rsidRPr="00362AF4">
        <w:rPr>
          <w:rFonts w:cs="Times New Roman"/>
          <w:b/>
          <w:color w:val="333333"/>
          <w:szCs w:val="24"/>
          <w:lang w:val="es-ES"/>
        </w:rPr>
        <w:t>Si usted está siendo amenazada o abusada por alguien cercano a usted, hable con su médico o proveedor de atención médica acerca de lo que está</w:t>
      </w:r>
      <w:r w:rsidRPr="00362AF4">
        <w:rPr>
          <w:rFonts w:cs="Times New Roman"/>
          <w:b/>
          <w:color w:val="333333"/>
          <w:lang w:val="es-ES"/>
        </w:rPr>
        <w:t>n disponibles para usted.</w:t>
      </w:r>
    </w:p>
    <w:sectPr w:rsidR="0056763D" w:rsidRPr="00362AF4" w:rsidSect="002659A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A18"/>
    <w:multiLevelType w:val="hybridMultilevel"/>
    <w:tmpl w:val="4B88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52AFE"/>
    <w:multiLevelType w:val="hybridMultilevel"/>
    <w:tmpl w:val="282E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50638"/>
    <w:multiLevelType w:val="hybridMultilevel"/>
    <w:tmpl w:val="83F6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D7969"/>
    <w:multiLevelType w:val="hybridMultilevel"/>
    <w:tmpl w:val="213E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73992"/>
    <w:multiLevelType w:val="hybridMultilevel"/>
    <w:tmpl w:val="9A90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F4"/>
    <w:rsid w:val="002659A2"/>
    <w:rsid w:val="00326DA6"/>
    <w:rsid w:val="00362AF4"/>
    <w:rsid w:val="003D100E"/>
    <w:rsid w:val="00432840"/>
    <w:rsid w:val="005010C5"/>
    <w:rsid w:val="005647F0"/>
    <w:rsid w:val="0056763D"/>
    <w:rsid w:val="005C65B5"/>
    <w:rsid w:val="00632A88"/>
    <w:rsid w:val="00854FD2"/>
    <w:rsid w:val="00BB3165"/>
    <w:rsid w:val="00C271BE"/>
    <w:rsid w:val="00D0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57018-28A3-4C92-B5B0-B95C1504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B3165"/>
  </w:style>
  <w:style w:type="paragraph" w:styleId="Title">
    <w:name w:val="Title"/>
    <w:basedOn w:val="Normal"/>
    <w:link w:val="TitleChar"/>
    <w:qFormat/>
    <w:rsid w:val="00432840"/>
    <w:pPr>
      <w:jc w:val="center"/>
    </w:pPr>
    <w:rPr>
      <w:rFonts w:eastAsia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32840"/>
    <w:rPr>
      <w:rFonts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65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Elenbaas</dc:creator>
  <cp:keywords/>
  <dc:description/>
  <cp:lastModifiedBy>Jeanne Elenbaas</cp:lastModifiedBy>
  <cp:revision>9</cp:revision>
  <cp:lastPrinted>2019-04-15T19:01:00Z</cp:lastPrinted>
  <dcterms:created xsi:type="dcterms:W3CDTF">2013-07-12T13:07:00Z</dcterms:created>
  <dcterms:modified xsi:type="dcterms:W3CDTF">2019-04-18T15:27:00Z</dcterms:modified>
</cp:coreProperties>
</file>